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4974A811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 w:rsidR="00FB5AC0">
              <w:rPr>
                <w:rFonts w:ascii="Times New Roman" w:hAnsi="Times New Roman" w:cs="Times New Roman"/>
                <w:noProof/>
                <w:sz w:val="24"/>
                <w:lang w:val="et-EE"/>
              </w:rPr>
              <w:t>12525</w:t>
            </w:r>
          </w:p>
          <w:p w14:paraId="4B703A81" w14:textId="5857248D" w:rsidR="007B2A26" w:rsidRPr="001909B6" w:rsidRDefault="00FB5AC0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3. oktoober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27C2F336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</w:t>
      </w:r>
      <w:r w:rsidR="00FB5AC0">
        <w:rPr>
          <w:rFonts w:ascii="Times New Roman" w:hAnsi="Times New Roman" w:cs="Times New Roman"/>
          <w:sz w:val="24"/>
          <w:lang w:val="et-EE"/>
        </w:rPr>
        <w:t>-24-12525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4C2D1F" w:rsidRPr="004C2D1F">
        <w:rPr>
          <w:rFonts w:ascii="Times New Roman" w:hAnsi="Times New Roman" w:cs="Times New Roman"/>
          <w:sz w:val="24"/>
          <w:lang w:val="et-EE"/>
        </w:rPr>
        <w:t>DOMINIC INVESTMENT OÜ</w:t>
      </w:r>
      <w:r w:rsidR="004C2D1F">
        <w:rPr>
          <w:rFonts w:ascii="Times New Roman" w:hAnsi="Times New Roman" w:cs="Times New Roman"/>
          <w:sz w:val="24"/>
          <w:lang w:val="et-EE"/>
        </w:rPr>
        <w:t xml:space="preserve"> </w:t>
      </w:r>
      <w:r w:rsidR="001909B6">
        <w:rPr>
          <w:rFonts w:ascii="Times New Roman" w:hAnsi="Times New Roman" w:cs="Times New Roman"/>
          <w:sz w:val="24"/>
          <w:lang w:val="et-EE"/>
        </w:rPr>
        <w:t>pankrotiavaldus.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4D59E3ED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FB5AC0">
        <w:rPr>
          <w:rFonts w:ascii="Times New Roman" w:hAnsi="Times New Roman" w:cs="Times New Roman"/>
          <w:sz w:val="24"/>
          <w:lang w:val="et-EE"/>
        </w:rPr>
        <w:t>18.09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</w:t>
      </w:r>
      <w:r w:rsidR="00FB5AC0">
        <w:rPr>
          <w:rFonts w:ascii="Times New Roman" w:hAnsi="Times New Roman" w:cs="Times New Roman"/>
          <w:sz w:val="24"/>
          <w:lang w:val="et-EE"/>
        </w:rPr>
        <w:t>3000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FB5AC0">
        <w:rPr>
          <w:rFonts w:ascii="Times New Roman" w:hAnsi="Times New Roman" w:cs="Times New Roman"/>
          <w:sz w:val="24"/>
          <w:lang w:val="et-EE"/>
        </w:rPr>
        <w:t>02.10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1EA0236D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FB5AC0">
        <w:rPr>
          <w:rFonts w:ascii="Times New Roman" w:hAnsi="Times New Roman" w:cs="Times New Roman"/>
          <w:b/>
          <w:sz w:val="24"/>
          <w:lang w:val="et-EE"/>
        </w:rPr>
        <w:t>17. oktoober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5404FBFB" w:rsidR="00223ECF" w:rsidRPr="001909B6" w:rsidRDefault="00CB1006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Gerda Johanson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6C7FF67F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4C2D1F"/>
    <w:rsid w:val="005F24FB"/>
    <w:rsid w:val="007B2A26"/>
    <w:rsid w:val="007C05D9"/>
    <w:rsid w:val="009316E9"/>
    <w:rsid w:val="009F000C"/>
    <w:rsid w:val="00CB1006"/>
    <w:rsid w:val="00D93646"/>
    <w:rsid w:val="00F01D96"/>
    <w:rsid w:val="00F2597C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Gerda Johanson</cp:lastModifiedBy>
  <cp:revision>6</cp:revision>
  <dcterms:created xsi:type="dcterms:W3CDTF">2024-06-10T13:53:00Z</dcterms:created>
  <dcterms:modified xsi:type="dcterms:W3CDTF">2024-10-03T09:23:00Z</dcterms:modified>
</cp:coreProperties>
</file>